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1DC" w:rsidRDefault="00C06DA7" w:rsidP="007572FC">
      <w:pPr>
        <w:pStyle w:val="Docketnumber"/>
      </w:pPr>
      <w:r>
        <w:t>PUC DOCKET NO. 47275</w:t>
      </w:r>
      <w:r>
        <w:br/>
        <w:t xml:space="preserve">SOAH DOCKET NO. </w:t>
      </w:r>
      <w:r w:rsidR="007572FC">
        <w:t>473-1</w:t>
      </w:r>
      <w:r>
        <w:t>8</w:t>
      </w:r>
      <w:r w:rsidR="007572FC">
        <w:t>-</w:t>
      </w:r>
      <w:r>
        <w:t>0193.WS</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7572FC" w:rsidTr="009C1919">
        <w:tc>
          <w:tcPr>
            <w:tcW w:w="4608" w:type="dxa"/>
          </w:tcPr>
          <w:p w:rsidR="007572FC" w:rsidRDefault="00C06DA7" w:rsidP="00C06DA7">
            <w:pPr>
              <w:pStyle w:val="Docketstyle"/>
            </w:pPr>
            <w:r>
              <w:t>APPLICATION OF THE COMMONS WATER SUPPLY, INC. FOR AUTHORITY TO CHANGE RATES</w:t>
            </w:r>
          </w:p>
        </w:tc>
        <w:tc>
          <w:tcPr>
            <w:tcW w:w="360" w:type="dxa"/>
          </w:tcPr>
          <w:p w:rsidR="007572FC" w:rsidRDefault="001E360C" w:rsidP="001E360C">
            <w:pPr>
              <w:pStyle w:val="Docketstyle"/>
            </w:pPr>
            <w:r>
              <w:t>§</w:t>
            </w:r>
          </w:p>
          <w:p w:rsidR="001E360C" w:rsidRDefault="001E360C" w:rsidP="001E360C">
            <w:pPr>
              <w:pStyle w:val="Docketstyle"/>
            </w:pPr>
            <w:r>
              <w:t>§</w:t>
            </w:r>
          </w:p>
          <w:p w:rsidR="001E360C" w:rsidRDefault="001E360C" w:rsidP="001E360C">
            <w:pPr>
              <w:pStyle w:val="Docketstyle"/>
            </w:pPr>
            <w:r>
              <w:t>§</w:t>
            </w:r>
          </w:p>
        </w:tc>
        <w:tc>
          <w:tcPr>
            <w:tcW w:w="4392" w:type="dxa"/>
          </w:tcPr>
          <w:p w:rsidR="007572FC" w:rsidRDefault="001E360C" w:rsidP="001E360C">
            <w:pPr>
              <w:pStyle w:val="DocketstylePUC"/>
            </w:pPr>
            <w:r>
              <w:t>PUBLIC UTILITY COMMISSION</w:t>
            </w:r>
          </w:p>
          <w:p w:rsidR="001E360C" w:rsidRDefault="001E360C" w:rsidP="001E360C">
            <w:pPr>
              <w:pStyle w:val="DocketstylePUC"/>
            </w:pPr>
          </w:p>
          <w:p w:rsidR="001E360C" w:rsidRDefault="001E360C" w:rsidP="001E360C">
            <w:pPr>
              <w:pStyle w:val="DocketstylePUC"/>
            </w:pPr>
            <w:r>
              <w:t>OF TEXAS</w:t>
            </w:r>
          </w:p>
        </w:tc>
      </w:tr>
    </w:tbl>
    <w:p w:rsidR="007572FC" w:rsidRDefault="0046644C" w:rsidP="00C54659">
      <w:pPr>
        <w:pStyle w:val="Titleoforder"/>
      </w:pPr>
      <w:r>
        <w:t>DRAFT PRELIMINARY ORDER</w:t>
      </w:r>
    </w:p>
    <w:p w:rsidR="00266F9F" w:rsidRDefault="00054914" w:rsidP="00266F9F">
      <w:pPr>
        <w:pStyle w:val="BodyText"/>
      </w:pPr>
      <w:r>
        <w:t xml:space="preserve">The Commons Water Supply, Inc. filed an application for </w:t>
      </w:r>
      <w:r>
        <w:t>a class B rate and tariff change affecting certificate of convenience and necessity number</w:t>
      </w:r>
      <w:r>
        <w:t xml:space="preserve"> 12781</w:t>
      </w:r>
      <w:r w:rsidR="00266F9F">
        <w:t xml:space="preserve">.  </w:t>
      </w:r>
      <w:r>
        <w:t>The Commons</w:t>
      </w:r>
      <w:r w:rsidRPr="00054914">
        <w:t xml:space="preserve"> is a water utility serving </w:t>
      </w:r>
      <w:r w:rsidR="0002406D">
        <w:t>950</w:t>
      </w:r>
      <w:r w:rsidRPr="00054914">
        <w:t xml:space="preserve"> customers in </w:t>
      </w:r>
      <w:r>
        <w:t>Harris</w:t>
      </w:r>
      <w:r w:rsidRPr="00054914">
        <w:t xml:space="preserve"> County, Texas.</w:t>
      </w:r>
      <w:r w:rsidR="0002406D">
        <w:rPr>
          <w:rStyle w:val="FootnoteReference"/>
        </w:rPr>
        <w:footnoteReference w:id="1"/>
      </w:r>
      <w:r w:rsidRPr="00054914">
        <w:t xml:space="preserve">  This preliminary order identifies the issues that must be addressed in this docket.</w:t>
      </w:r>
      <w:r w:rsidR="00677B5E">
        <w:t xml:space="preserve"> </w:t>
      </w:r>
    </w:p>
    <w:p w:rsidR="0017369E" w:rsidRDefault="0002406D" w:rsidP="00054914">
      <w:pPr>
        <w:pStyle w:val="BodyText"/>
      </w:pPr>
      <w:r>
        <w:t>The Commons</w:t>
      </w:r>
      <w:r w:rsidR="00054914">
        <w:t xml:space="preserve"> requests approval of an annual revenue</w:t>
      </w:r>
      <w:r>
        <w:t>-requirement</w:t>
      </w:r>
      <w:r w:rsidR="00054914">
        <w:t xml:space="preserve"> increase of $</w:t>
      </w:r>
      <w:r>
        <w:t>144,704</w:t>
      </w:r>
      <w:r w:rsidR="00054914">
        <w:t xml:space="preserve"> for water service</w:t>
      </w:r>
      <w:r w:rsidR="00054914" w:rsidRPr="00EE251A">
        <w:t>.</w:t>
      </w:r>
      <w:r w:rsidR="00054914" w:rsidRPr="00EE251A">
        <w:rPr>
          <w:rStyle w:val="FootnoteReference"/>
        </w:rPr>
        <w:footnoteReference w:id="2"/>
      </w:r>
      <w:r w:rsidR="00054914" w:rsidRPr="00EE251A">
        <w:t xml:space="preserve"> </w:t>
      </w:r>
      <w:r w:rsidR="00EE251A" w:rsidRPr="00EE251A">
        <w:t xml:space="preserve"> </w:t>
      </w:r>
      <w:r w:rsidRPr="00EE251A">
        <w:t>The Commons provided</w:t>
      </w:r>
      <w:r w:rsidR="00054914" w:rsidRPr="00EE251A">
        <w:t xml:space="preserve"> a billing comparison that shows that under its proposed water</w:t>
      </w:r>
      <w:r w:rsidRPr="00EE251A">
        <w:t>-</w:t>
      </w:r>
      <w:r w:rsidR="00054914" w:rsidRPr="00EE251A">
        <w:t>rate increase, the monthly rate for water service</w:t>
      </w:r>
      <w:r w:rsidR="00EE251A" w:rsidRPr="00EE251A">
        <w:t xml:space="preserve"> for a residential customer with a 5/8 inch or 3/4 inch </w:t>
      </w:r>
      <w:r w:rsidR="00530998">
        <w:t>meter</w:t>
      </w:r>
      <w:r w:rsidR="00054914" w:rsidRPr="00EE251A">
        <w:t xml:space="preserve"> would increase from $</w:t>
      </w:r>
      <w:r w:rsidR="00EE251A" w:rsidRPr="00EE251A">
        <w:t>35.50</w:t>
      </w:r>
      <w:r w:rsidR="00054914" w:rsidRPr="00EE251A">
        <w:t xml:space="preserve"> to $</w:t>
      </w:r>
      <w:r w:rsidR="00EE251A" w:rsidRPr="00EE251A">
        <w:t>44.48.</w:t>
      </w:r>
      <w:r w:rsidR="00EE251A" w:rsidRPr="00EE251A">
        <w:rPr>
          <w:rStyle w:val="FootnoteReference"/>
        </w:rPr>
        <w:footnoteReference w:id="3"/>
      </w:r>
      <w:r w:rsidR="00EE251A" w:rsidRPr="00EE251A">
        <w:t xml:space="preserve">  Under the current rates, the monthly base rate includes 5,000 gallons of water, while </w:t>
      </w:r>
      <w:r w:rsidR="00C13F2A">
        <w:t xml:space="preserve">none are included under the proposed </w:t>
      </w:r>
      <w:r w:rsidR="00EE251A" w:rsidRPr="00EE251A">
        <w:t>rates</w:t>
      </w:r>
      <w:r w:rsidR="00054914" w:rsidRPr="00EE251A">
        <w:t>.</w:t>
      </w:r>
      <w:r w:rsidR="00054914" w:rsidRPr="00EE251A">
        <w:rPr>
          <w:rStyle w:val="FootnoteReference"/>
        </w:rPr>
        <w:footnoteReference w:id="4"/>
      </w:r>
      <w:r w:rsidR="00054914">
        <w:t xml:space="preserve"> </w:t>
      </w:r>
      <w:r w:rsidR="00EE251A">
        <w:t xml:space="preserve"> </w:t>
      </w:r>
      <w:r w:rsidR="0017369E">
        <w:t>In its response to Commission Staff’s recommendation on sufficiency, the Commons provided a billing comparison showing that, for a customer using 5,000 gallons, rates would increase from $35.50 per month to $53.98 per month.</w:t>
      </w:r>
      <w:r w:rsidR="0017369E">
        <w:rPr>
          <w:rStyle w:val="FootnoteReference"/>
        </w:rPr>
        <w:footnoteReference w:id="5"/>
      </w:r>
      <w:r w:rsidR="0017369E">
        <w:t xml:space="preserve">  For a customer using 10,000 gallons, rates would increase from $45.00 per month to $63.48 per month.</w:t>
      </w:r>
      <w:r w:rsidR="0017369E">
        <w:rPr>
          <w:rStyle w:val="FootnoteReference"/>
        </w:rPr>
        <w:footnoteReference w:id="6"/>
      </w:r>
      <w:r w:rsidR="0017369E">
        <w:t xml:space="preserve">  For a customer using 30,000 gallons, rates would increase from $119.50 per month to $137.98 per month.</w:t>
      </w:r>
      <w:r w:rsidR="0017369E">
        <w:rPr>
          <w:rStyle w:val="FootnoteReference"/>
        </w:rPr>
        <w:footnoteReference w:id="7"/>
      </w:r>
      <w:r w:rsidR="0017369E">
        <w:t xml:space="preserve">  </w:t>
      </w:r>
      <w:r w:rsidR="00530998">
        <w:t xml:space="preserve">Certain miscellaneous fees would also increase under the proposed rates.  </w:t>
      </w:r>
    </w:p>
    <w:p w:rsidR="00054914" w:rsidRDefault="0017369E" w:rsidP="0017369E">
      <w:pPr>
        <w:pStyle w:val="BodyText"/>
      </w:pPr>
      <w:r>
        <w:t>After revising its application in response to Commission Staff’s recommendation on sufficiency, t</w:t>
      </w:r>
      <w:r w:rsidR="0002406D">
        <w:t>he Commons</w:t>
      </w:r>
      <w:r w:rsidR="00054914">
        <w:t xml:space="preserve"> proposed </w:t>
      </w:r>
      <w:r>
        <w:t>October 1</w:t>
      </w:r>
      <w:r w:rsidR="00054914">
        <w:t>, 2017 as the effective date for the new rates.</w:t>
      </w:r>
      <w:r w:rsidR="00054914">
        <w:rPr>
          <w:rStyle w:val="FootnoteReference"/>
        </w:rPr>
        <w:footnoteReference w:id="8"/>
      </w:r>
      <w:r w:rsidR="00054914">
        <w:t xml:space="preserve">  </w:t>
      </w:r>
      <w:r>
        <w:t>Because p</w:t>
      </w:r>
      <w:r w:rsidR="00054914">
        <w:t xml:space="preserve">rotests from </w:t>
      </w:r>
      <w:r w:rsidR="0002406D">
        <w:t>over 300</w:t>
      </w:r>
      <w:r w:rsidR="00054914">
        <w:t xml:space="preserve"> ratepayers have been filed in this </w:t>
      </w:r>
      <w:r>
        <w:t>docket,</w:t>
      </w:r>
      <w:r w:rsidR="00054914">
        <w:t xml:space="preserve"> Commission Staff recommended that the Commission refer the matter to the State Office of Administrative Hearings for an evidentiary hearing under 16 Texas Administrative Code § 24.28(c)</w:t>
      </w:r>
      <w:r w:rsidR="0002406D" w:rsidRPr="0002406D">
        <w:t xml:space="preserve"> </w:t>
      </w:r>
      <w:r w:rsidR="0002406D">
        <w:t>(TAC)</w:t>
      </w:r>
      <w:r w:rsidR="00054914">
        <w:t xml:space="preserve">.  </w:t>
      </w:r>
      <w:r w:rsidR="0002406D">
        <w:t xml:space="preserve">Commission Staff also recommended suspension of the effective date of the rate change, and the Commission </w:t>
      </w:r>
      <w:r w:rsidR="00EE251A">
        <w:t>administrative</w:t>
      </w:r>
      <w:r w:rsidR="0002406D">
        <w:t xml:space="preserve"> law judge suspended the effective date for no more than 265 days.</w:t>
      </w:r>
      <w:r w:rsidR="0002406D">
        <w:rPr>
          <w:rStyle w:val="FootnoteReference"/>
        </w:rPr>
        <w:footnoteReference w:id="9"/>
      </w:r>
      <w:r w:rsidR="0002406D">
        <w:t xml:space="preserve">  </w:t>
      </w:r>
      <w:r w:rsidR="00054914">
        <w:t xml:space="preserve">On </w:t>
      </w:r>
      <w:r w:rsidR="00EE251A">
        <w:t>September 15</w:t>
      </w:r>
      <w:r w:rsidR="00054914">
        <w:t xml:space="preserve">, 2017, the Commission referred this proceeding to the State Office of Administrative Hearings.  </w:t>
      </w:r>
    </w:p>
    <w:p w:rsidR="00054914" w:rsidRDefault="00EE251A" w:rsidP="00054914">
      <w:pPr>
        <w:pStyle w:val="BodyText"/>
      </w:pPr>
      <w:r>
        <w:lastRenderedPageBreak/>
        <w:t>The Commons</w:t>
      </w:r>
      <w:r w:rsidR="00054914">
        <w:t xml:space="preserve"> was directed and Commission Staff and other interested persons were allowed to file a list of issues to be addressed in the docket and also identify any issues not to be addressed and any threshold legal or policy issues that should be addressed by </w:t>
      </w:r>
      <w:r>
        <w:t>September 26</w:t>
      </w:r>
      <w:r w:rsidR="00054914">
        <w:t xml:space="preserve">, 2017.  </w:t>
      </w:r>
      <w:r>
        <w:t xml:space="preserve">The Commons and </w:t>
      </w:r>
      <w:r w:rsidR="00054914">
        <w:t xml:space="preserve">Commission Staff </w:t>
      </w:r>
      <w:r>
        <w:t xml:space="preserve">each </w:t>
      </w:r>
      <w:r w:rsidR="00054914">
        <w:t xml:space="preserve">timely filed a list of issues.   </w:t>
      </w:r>
    </w:p>
    <w:p w:rsidR="006F2036" w:rsidRPr="003C35B5" w:rsidRDefault="006F2036" w:rsidP="006F2036">
      <w:pPr>
        <w:pStyle w:val="Heading1"/>
        <w:keepLines w:val="0"/>
        <w:tabs>
          <w:tab w:val="clear" w:pos="360"/>
        </w:tabs>
        <w:spacing w:before="480"/>
      </w:pPr>
      <w:r w:rsidRPr="003C35B5">
        <w:t xml:space="preserve">Issues to be </w:t>
      </w:r>
      <w:proofErr w:type="gramStart"/>
      <w:r w:rsidRPr="003C35B5">
        <w:t>Addressed</w:t>
      </w:r>
      <w:proofErr w:type="gramEnd"/>
    </w:p>
    <w:p w:rsidR="006F2036" w:rsidRPr="003C35B5" w:rsidRDefault="006F2036" w:rsidP="006F2036">
      <w:pPr>
        <w:pStyle w:val="BodyText"/>
      </w:pPr>
      <w:r w:rsidRPr="003C35B5">
        <w:t>The Commission must provide to the administrative law judge (ALJ) a list of issues or areas to be addressed in any proceeding referred to the State Office of Administrative Hearings (SOAH).</w:t>
      </w:r>
      <w:r w:rsidRPr="003C35B5">
        <w:rPr>
          <w:rStyle w:val="FootnoteReference"/>
        </w:rPr>
        <w:footnoteReference w:id="10"/>
      </w:r>
      <w:r w:rsidRPr="003C35B5">
        <w:t xml:space="preserve">  After reviewing the pleadings submitted by the parties, the Commission identifies the following issues that must be addressed in this docket:</w:t>
      </w:r>
    </w:p>
    <w:p w:rsidR="0061452E" w:rsidRPr="0061452E" w:rsidRDefault="0061452E" w:rsidP="0061452E">
      <w:pPr>
        <w:pStyle w:val="IssueList"/>
      </w:pPr>
      <w:r w:rsidRPr="0061452E">
        <w:t>What is the appropriate methodology to determine just and reasonable rates in this proceeding?</w:t>
      </w:r>
    </w:p>
    <w:p w:rsidR="0061452E" w:rsidRPr="0061452E" w:rsidRDefault="0061452E" w:rsidP="0061452E">
      <w:pPr>
        <w:pStyle w:val="IssueList"/>
      </w:pPr>
      <w:r w:rsidRPr="0061452E">
        <w:t>What are the just and reasonable rates for the utility that are sufficient, equitable, and consistent in application to each customer class and that are not unreasonably preferential, prejudicial, or discriminatory?  TWC § 13.182, 13.1871(o); 16 TAC § 24.28(d).</w:t>
      </w:r>
    </w:p>
    <w:p w:rsidR="0061452E" w:rsidRPr="0061452E" w:rsidRDefault="0061452E" w:rsidP="0061452E">
      <w:pPr>
        <w:pStyle w:val="IssueList"/>
      </w:pPr>
      <w:r w:rsidRPr="0061452E">
        <w:t xml:space="preserve">What revenue requirement will give the utility a reasonable opportunity to earn a reasonable return on its invested capital used and useful in providing service to the public in excess of its </w:t>
      </w:r>
      <w:r w:rsidRPr="0061452E">
        <w:lastRenderedPageBreak/>
        <w:t>reasonable and necessary operating expenses while preserving the utility's financial integrity?</w:t>
      </w:r>
      <w:r w:rsidRPr="0061452E">
        <w:rPr>
          <w:vertAlign w:val="superscript"/>
        </w:rPr>
        <w:t xml:space="preserve"> </w:t>
      </w:r>
      <w:r w:rsidRPr="0061452E">
        <w:t>TWC § 13.183(a</w:t>
      </w:r>
      <w:proofErr w:type="gramStart"/>
      <w:r w:rsidRPr="0061452E">
        <w:t>)(</w:t>
      </w:r>
      <w:proofErr w:type="gramEnd"/>
      <w:r w:rsidRPr="0061452E">
        <w:t>1)-(2); 16 TAC § 24.32(a).</w:t>
      </w:r>
    </w:p>
    <w:p w:rsidR="0061452E" w:rsidRPr="0061452E" w:rsidRDefault="0061452E" w:rsidP="0061452E">
      <w:pPr>
        <w:pStyle w:val="IssueList"/>
      </w:pPr>
      <w:r w:rsidRPr="0061452E">
        <w:t>Are the utility's proposed revisions to its tariffs and rate schedules appropriate?</w:t>
      </w:r>
    </w:p>
    <w:p w:rsidR="0061452E" w:rsidRPr="0061452E" w:rsidRDefault="0061452E" w:rsidP="0061452E">
      <w:pPr>
        <w:pStyle w:val="IssueList"/>
      </w:pPr>
      <w:r w:rsidRPr="0061452E">
        <w:t>What is the reasonable and necessary cost of providing service?</w:t>
      </w:r>
      <w:r w:rsidRPr="0061452E">
        <w:rPr>
          <w:vertAlign w:val="superscript"/>
        </w:rPr>
        <w:t xml:space="preserve"> </w:t>
      </w:r>
      <w:r w:rsidRPr="0061452E">
        <w:t>16 TAC § 24.31.</w:t>
      </w:r>
    </w:p>
    <w:p w:rsidR="0061452E" w:rsidRPr="0061452E" w:rsidRDefault="0061452E" w:rsidP="0061452E">
      <w:pPr>
        <w:pStyle w:val="IssueList"/>
      </w:pPr>
      <w:r w:rsidRPr="0061452E">
        <w:t>What adjustments, if any, should be made to the utility’s proposed test-year data? TWC § 13.185(d</w:t>
      </w:r>
      <w:proofErr w:type="gramStart"/>
      <w:r w:rsidRPr="0061452E">
        <w:t>)(</w:t>
      </w:r>
      <w:proofErr w:type="gramEnd"/>
      <w:r w:rsidRPr="0061452E">
        <w:t>1); 16 TAC § 24.31(b), (c)(5).</w:t>
      </w:r>
    </w:p>
    <w:p w:rsidR="0061452E" w:rsidRPr="0061452E" w:rsidRDefault="0061452E" w:rsidP="0061452E">
      <w:pPr>
        <w:pStyle w:val="IssueList"/>
      </w:pPr>
      <w:r w:rsidRPr="0061452E">
        <w:t>What is the appropriate debt-to-equity capital structure of the utility?</w:t>
      </w:r>
    </w:p>
    <w:p w:rsidR="0061452E" w:rsidRPr="0061452E" w:rsidRDefault="0061452E" w:rsidP="0061452E">
      <w:pPr>
        <w:pStyle w:val="IssueList"/>
      </w:pPr>
      <w:r w:rsidRPr="0061452E">
        <w:t>What is the appropriate weighted cost of capital (also called the overall rate of return), including return on equity and cost of debt for the utility? 16 TAC § 24.31(c</w:t>
      </w:r>
      <w:proofErr w:type="gramStart"/>
      <w:r w:rsidRPr="0061452E">
        <w:t>)(</w:t>
      </w:r>
      <w:proofErr w:type="gramEnd"/>
      <w:r w:rsidRPr="0061452E">
        <w:t>1).</w:t>
      </w:r>
    </w:p>
    <w:p w:rsidR="0061452E" w:rsidRPr="0061452E" w:rsidRDefault="0061452E" w:rsidP="0061452E">
      <w:pPr>
        <w:pStyle w:val="IssueList"/>
      </w:pPr>
      <w:r w:rsidRPr="0061452E">
        <w:t xml:space="preserve">What are the reasonable and necessary components of the </w:t>
      </w:r>
      <w:proofErr w:type="gramStart"/>
      <w:r w:rsidRPr="0061452E">
        <w:t>utility</w:t>
      </w:r>
      <w:r w:rsidR="00530998">
        <w:t>’</w:t>
      </w:r>
      <w:r w:rsidRPr="0061452E">
        <w:t>s</w:t>
      </w:r>
      <w:proofErr w:type="gramEnd"/>
      <w:r w:rsidRPr="0061452E">
        <w:t xml:space="preserve"> invested capital? 16 TAC § 24.31(c</w:t>
      </w:r>
      <w:proofErr w:type="gramStart"/>
      <w:r w:rsidRPr="0061452E">
        <w:t>)(</w:t>
      </w:r>
      <w:proofErr w:type="gramEnd"/>
      <w:r w:rsidRPr="0061452E">
        <w:t>2).</w:t>
      </w:r>
    </w:p>
    <w:p w:rsidR="0061452E" w:rsidRPr="0061452E" w:rsidRDefault="0061452E" w:rsidP="0061452E">
      <w:pPr>
        <w:pStyle w:val="IssueList"/>
      </w:pPr>
      <w:r w:rsidRPr="0061452E">
        <w:t>What is the amount for an allowance for funds used during construction, if any, that is being transferred to invested capital in this proceeding?  If such amounts are being transferred, for what facilities and at what rate did the allowance for funds used during construction accrue?</w:t>
      </w:r>
    </w:p>
    <w:p w:rsidR="0061452E" w:rsidRPr="0061452E" w:rsidRDefault="0061452E" w:rsidP="0061452E">
      <w:pPr>
        <w:pStyle w:val="IssueList"/>
      </w:pPr>
      <w:r w:rsidRPr="0061452E">
        <w:t>What is the original cost of the property used and useful in providing water service to the public at the time the property was dedicated to public use? TWC § 13.185(b); 16 TAC § 24.31(c</w:t>
      </w:r>
      <w:proofErr w:type="gramStart"/>
      <w:r w:rsidRPr="0061452E">
        <w:t>)(</w:t>
      </w:r>
      <w:proofErr w:type="gramEnd"/>
      <w:r w:rsidRPr="0061452E">
        <w:t xml:space="preserve">2)(A)-(B).  </w:t>
      </w:r>
      <w:r w:rsidRPr="0061452E">
        <w:rPr>
          <w:vertAlign w:val="superscript"/>
        </w:rPr>
        <w:t xml:space="preserve"> </w:t>
      </w:r>
      <w:r w:rsidRPr="0061452E">
        <w:t>What is the amount, if any, of accumulated depreciation on such property?</w:t>
      </w:r>
    </w:p>
    <w:p w:rsidR="0061452E" w:rsidRPr="0061452E" w:rsidRDefault="0061452E" w:rsidP="0061452E">
      <w:pPr>
        <w:pStyle w:val="IssueList"/>
      </w:pPr>
      <w:r w:rsidRPr="0061452E">
        <w:t>Is the utility seeking inclusion of construction work in progress?  If so, what is the amount sought and for what facilities?  Additionally, has the utility proven that the inclusion is necessary to the financial integrity of the utility and that major projects under construction have been efficiently and prudently planned and managed? TWC § 13.185(b); 16 TAC § 24.31(c</w:t>
      </w:r>
      <w:proofErr w:type="gramStart"/>
      <w:r w:rsidRPr="0061452E">
        <w:t>)(</w:t>
      </w:r>
      <w:proofErr w:type="gramEnd"/>
      <w:r w:rsidRPr="0061452E">
        <w:t xml:space="preserve">4). </w:t>
      </w:r>
    </w:p>
    <w:p w:rsidR="0061452E" w:rsidRPr="0061452E" w:rsidRDefault="0061452E" w:rsidP="0061452E">
      <w:pPr>
        <w:pStyle w:val="IssueList"/>
      </w:pPr>
      <w:r w:rsidRPr="0061452E">
        <w:t>Does the utility have any debt? If so, what is the cost of that debt?</w:t>
      </w:r>
    </w:p>
    <w:p w:rsidR="0061452E" w:rsidRPr="0061452E" w:rsidRDefault="0061452E" w:rsidP="0061452E">
      <w:pPr>
        <w:pStyle w:val="IssueList"/>
      </w:pPr>
      <w:r w:rsidRPr="0061452E">
        <w:t>What is the reasonable and necessary working capital allowance for the utility? 16 TAC § 24.31(c</w:t>
      </w:r>
      <w:proofErr w:type="gramStart"/>
      <w:r w:rsidRPr="0061452E">
        <w:t>)(</w:t>
      </w:r>
      <w:proofErr w:type="gramEnd"/>
      <w:r w:rsidRPr="0061452E">
        <w:t xml:space="preserve">2)(C). </w:t>
      </w:r>
    </w:p>
    <w:p w:rsidR="0061452E" w:rsidRPr="0061452E" w:rsidRDefault="0061452E" w:rsidP="0061452E">
      <w:pPr>
        <w:pStyle w:val="IssueList"/>
      </w:pPr>
      <w:r w:rsidRPr="0061452E">
        <w:lastRenderedPageBreak/>
        <w:t>Does the utility have any water or sewer property that was acquired from an affiliate or a developer before September 1, 1976?  If so, has such property been included by the utility in its rate base, and has it been included in all ratemaking formulas at the actual cost of the property rather than the price set between the entities? TWC § 13.185(</w:t>
      </w:r>
      <w:proofErr w:type="spellStart"/>
      <w:r w:rsidRPr="0061452E">
        <w:t>i</w:t>
      </w:r>
      <w:proofErr w:type="spellEnd"/>
      <w:r w:rsidRPr="0061452E">
        <w:t>).</w:t>
      </w:r>
    </w:p>
    <w:p w:rsidR="0061452E" w:rsidRPr="0061452E" w:rsidRDefault="0061452E" w:rsidP="0061452E">
      <w:pPr>
        <w:pStyle w:val="IssueList"/>
      </w:pPr>
      <w:r w:rsidRPr="0061452E">
        <w:t xml:space="preserve">Has the utility acquired any water property from an affiliate?  If so, do the payments for that property meet the requirements of TWC § 13.185(e)? </w:t>
      </w:r>
    </w:p>
    <w:p w:rsidR="0061452E" w:rsidRPr="0061452E" w:rsidRDefault="0061452E" w:rsidP="0061452E">
      <w:pPr>
        <w:pStyle w:val="IssueList"/>
      </w:pPr>
      <w:r w:rsidRPr="0061452E">
        <w:t>Has the utility financed any of its plant with developer contributions? TWC § 13.185(j), 16 TAC § 24.31(b</w:t>
      </w:r>
      <w:proofErr w:type="gramStart"/>
      <w:r w:rsidRPr="0061452E">
        <w:t>)(</w:t>
      </w:r>
      <w:proofErr w:type="gramEnd"/>
      <w:r w:rsidRPr="0061452E">
        <w:t>1)(B).  What is the amount, if any, of accumulated depreciation on that property?</w:t>
      </w:r>
    </w:p>
    <w:p w:rsidR="0061452E" w:rsidRPr="0061452E" w:rsidRDefault="0061452E" w:rsidP="0061452E">
      <w:pPr>
        <w:pStyle w:val="IssueList"/>
      </w:pPr>
      <w:r w:rsidRPr="0061452E">
        <w:t>Has the utility included any customer contributions or donations in invested capital?</w:t>
      </w:r>
      <w:r w:rsidRPr="0061452E">
        <w:rPr>
          <w:vertAlign w:val="superscript"/>
        </w:rPr>
        <w:t xml:space="preserve">  </w:t>
      </w:r>
      <w:r w:rsidRPr="0061452E">
        <w:t>TWC § 13.185(j), 16 TAC § 24.31(c</w:t>
      </w:r>
      <w:proofErr w:type="gramStart"/>
      <w:r w:rsidRPr="0061452E">
        <w:t>)(</w:t>
      </w:r>
      <w:proofErr w:type="gramEnd"/>
      <w:r w:rsidRPr="0061452E">
        <w:t>2)(B)(v).</w:t>
      </w:r>
    </w:p>
    <w:p w:rsidR="0061452E" w:rsidRPr="0061452E" w:rsidRDefault="0061452E" w:rsidP="0061452E">
      <w:pPr>
        <w:pStyle w:val="IssueList"/>
        <w:rPr>
          <w:vertAlign w:val="superscript"/>
        </w:rPr>
      </w:pPr>
      <w:r w:rsidRPr="0061452E">
        <w:t>What are the utility's reasonable and necessary operations and maintenance expenses? 16 TAC § 24.31(b</w:t>
      </w:r>
      <w:proofErr w:type="gramStart"/>
      <w:r w:rsidRPr="0061452E">
        <w:t>)(</w:t>
      </w:r>
      <w:proofErr w:type="gramEnd"/>
      <w:r w:rsidRPr="0061452E">
        <w:t>1)(A).</w:t>
      </w:r>
    </w:p>
    <w:p w:rsidR="0061452E" w:rsidRPr="0061452E" w:rsidRDefault="0061452E" w:rsidP="0061452E">
      <w:pPr>
        <w:pStyle w:val="IssueList"/>
      </w:pPr>
      <w:r w:rsidRPr="0061452E">
        <w:t>What are the utility's reasonable and necessary administrative and general expenses?</w:t>
      </w:r>
    </w:p>
    <w:p w:rsidR="0061452E" w:rsidRPr="0061452E" w:rsidRDefault="0061452E" w:rsidP="0061452E">
      <w:pPr>
        <w:pStyle w:val="IssueList"/>
      </w:pPr>
      <w:r w:rsidRPr="0061452E">
        <w:t>What is the reasonable and necessary amount for the utility's advertising expense, contributions, and donations? 16 TAC § 24.31(b</w:t>
      </w:r>
      <w:proofErr w:type="gramStart"/>
      <w:r w:rsidRPr="0061452E">
        <w:t>)(</w:t>
      </w:r>
      <w:proofErr w:type="gramEnd"/>
      <w:r w:rsidRPr="0061452E">
        <w:t>1)(F).</w:t>
      </w:r>
    </w:p>
    <w:p w:rsidR="0061452E" w:rsidRPr="0061452E" w:rsidRDefault="0061452E" w:rsidP="0061452E">
      <w:pPr>
        <w:pStyle w:val="IssueList"/>
      </w:pPr>
      <w:r w:rsidRPr="0061452E">
        <w:t>Are any expenses, including but not limited to, executive salaries, advertising expenses, rate</w:t>
      </w:r>
      <w:r w:rsidRPr="0061452E">
        <w:noBreakHyphen/>
        <w:t>case expenses, legal expenses, penalties and interest on overdue taxes, criminal penalties or fines, and civil penalties or fines, unreasonable, unnecessary, or not in the public interest? TWC § 13.185(h</w:t>
      </w:r>
      <w:proofErr w:type="gramStart"/>
      <w:r w:rsidRPr="0061452E">
        <w:t>)(</w:t>
      </w:r>
      <w:proofErr w:type="gramEnd"/>
      <w:r w:rsidRPr="0061452E">
        <w:t>3); 16 TAC § 24.31(b)(2)(I).</w:t>
      </w:r>
    </w:p>
    <w:p w:rsidR="0061452E" w:rsidRPr="0061452E" w:rsidRDefault="0061452E" w:rsidP="0061452E">
      <w:pPr>
        <w:pStyle w:val="IssueList"/>
      </w:pPr>
      <w:r w:rsidRPr="0061452E">
        <w:t>If the utility has a self-insurance plan approved by the Commission or other regulatory authority, what is the approved target amount for the reserve account, and is it appropriate to charge that amount?  What is the amount of any shortage or surplus for the reserve account, and what actions, if any, should be taken to return the reserve account to the approved target amount?</w:t>
      </w:r>
    </w:p>
    <w:p w:rsidR="0061452E" w:rsidRPr="0061452E" w:rsidRDefault="0061452E" w:rsidP="0061452E">
      <w:pPr>
        <w:pStyle w:val="IssueList"/>
      </w:pPr>
      <w:r w:rsidRPr="0061452E">
        <w:t xml:space="preserve">What are the utility’s reasonable and necessary expenses, if any, for pension and other post-employment benefits? </w:t>
      </w:r>
    </w:p>
    <w:p w:rsidR="0061452E" w:rsidRPr="0061452E" w:rsidRDefault="0061452E" w:rsidP="0061452E">
      <w:pPr>
        <w:pStyle w:val="IssueList"/>
      </w:pPr>
      <w:r w:rsidRPr="0061452E">
        <w:t>Has the utility made any payments to affiliates?</w:t>
      </w:r>
    </w:p>
    <w:p w:rsidR="0061452E" w:rsidRPr="0061452E" w:rsidRDefault="0061452E" w:rsidP="00530998">
      <w:pPr>
        <w:pStyle w:val="Issuesublist"/>
        <w:rPr>
          <w:snapToGrid w:val="0"/>
        </w:rPr>
      </w:pPr>
      <w:r w:rsidRPr="0061452E">
        <w:rPr>
          <w:snapToGrid w:val="0"/>
        </w:rPr>
        <w:lastRenderedPageBreak/>
        <w:t>For affiliate transactions that affect the cost of service, are these transactions reasonable and necessary? TWC § 13.185(e).</w:t>
      </w:r>
    </w:p>
    <w:p w:rsidR="0061452E" w:rsidRPr="0061452E" w:rsidRDefault="0061452E" w:rsidP="00530998">
      <w:pPr>
        <w:pStyle w:val="Issuesublist"/>
        <w:rPr>
          <w:snapToGrid w:val="0"/>
        </w:rPr>
      </w:pPr>
      <w:r w:rsidRPr="0061452E">
        <w:rPr>
          <w:snapToGrid w:val="0"/>
        </w:rPr>
        <w:t>For all affiliated transactions affecting the cost of service, what are the costs to the affiliate of each item or class of items in question, and is the price for each transaction no higher than prices charged by the supplying affiliate to its other affiliates or divisions for the same item or items, or to unaffiliated persons or corporations? TWC § 13.185(e).</w:t>
      </w:r>
    </w:p>
    <w:p w:rsidR="0061452E" w:rsidRPr="0061452E" w:rsidRDefault="0061452E" w:rsidP="0061452E">
      <w:pPr>
        <w:pStyle w:val="IssueList"/>
      </w:pPr>
      <w:r w:rsidRPr="0061452E">
        <w:t>What is the reasonable and necessary depreciation expense?  For each class of property, what are the proper and adequate depreciation rates (including service lives and salvage values) and methods of depreciation? TWC § 13.185(j); 16 TAC § 24.31(b</w:t>
      </w:r>
      <w:proofErr w:type="gramStart"/>
      <w:r w:rsidRPr="0061452E">
        <w:t>)(</w:t>
      </w:r>
      <w:proofErr w:type="gramEnd"/>
      <w:r w:rsidRPr="0061452E">
        <w:t>1)(B).</w:t>
      </w:r>
    </w:p>
    <w:p w:rsidR="0061452E" w:rsidRPr="0061452E" w:rsidRDefault="0061452E" w:rsidP="0061452E">
      <w:pPr>
        <w:pStyle w:val="IssueList"/>
      </w:pPr>
      <w:r w:rsidRPr="0061452E">
        <w:t>Are any tax savings derived from liberalized depreciation and amortization, investment tax credits, or similar methods?  If so, are such tax savings apportioned equitably between customers and the utility, and are the interests of present and future customers equitably balanced?</w:t>
      </w:r>
    </w:p>
    <w:p w:rsidR="0061452E" w:rsidRPr="0061452E" w:rsidRDefault="0061452E" w:rsidP="0061452E">
      <w:pPr>
        <w:pStyle w:val="IssueList"/>
      </w:pPr>
      <w:r w:rsidRPr="0061452E">
        <w:t>What is the reasonable and necessary amount, if any, for assessment and taxes other than federal income taxes? 16 TAC § 24.31(b</w:t>
      </w:r>
      <w:proofErr w:type="gramStart"/>
      <w:r w:rsidRPr="0061452E">
        <w:t>)(</w:t>
      </w:r>
      <w:proofErr w:type="gramEnd"/>
      <w:r w:rsidRPr="0061452E">
        <w:t>1)(C).</w:t>
      </w:r>
    </w:p>
    <w:p w:rsidR="0061452E" w:rsidRPr="0061452E" w:rsidRDefault="0061452E" w:rsidP="0061452E">
      <w:pPr>
        <w:pStyle w:val="IssueList"/>
      </w:pPr>
      <w:r w:rsidRPr="0061452E">
        <w:t>What is the reasonable and necessary amount for the utility's federal income tax expense? 16 TAC § 24.31(b</w:t>
      </w:r>
      <w:proofErr w:type="gramStart"/>
      <w:r w:rsidRPr="0061452E">
        <w:t>)(</w:t>
      </w:r>
      <w:proofErr w:type="gramEnd"/>
      <w:r w:rsidRPr="0061452E">
        <w:t>1)(D); TWC § 13.185(f).</w:t>
      </w:r>
    </w:p>
    <w:p w:rsidR="0061452E" w:rsidRPr="0061452E" w:rsidRDefault="0061452E" w:rsidP="00530998">
      <w:pPr>
        <w:pStyle w:val="Issuesublist"/>
        <w:rPr>
          <w:snapToGrid w:val="0"/>
        </w:rPr>
      </w:pPr>
      <w:r w:rsidRPr="0061452E">
        <w:rPr>
          <w:snapToGrid w:val="0"/>
        </w:rPr>
        <w:t>Is the utility a member of an affiliated group that is eligible to file a consolidated income tax return? TWC § 13.185(f).</w:t>
      </w:r>
    </w:p>
    <w:p w:rsidR="0061452E" w:rsidRPr="0061452E" w:rsidRDefault="0061452E" w:rsidP="00530998">
      <w:pPr>
        <w:pStyle w:val="Issuesublist"/>
        <w:rPr>
          <w:snapToGrid w:val="0"/>
        </w:rPr>
      </w:pPr>
      <w:r w:rsidRPr="0061452E">
        <w:rPr>
          <w:snapToGrid w:val="0"/>
        </w:rPr>
        <w:t>If so, have income taxes been computed as though a consolidated return had been filed and the utility had realized its fair share of the savings resulting from the consolidated return? TWC § 13.185(f).</w:t>
      </w:r>
    </w:p>
    <w:p w:rsidR="0061452E" w:rsidRPr="0061452E" w:rsidRDefault="0061452E" w:rsidP="00530998">
      <w:pPr>
        <w:pStyle w:val="Issuesublist"/>
        <w:rPr>
          <w:snapToGrid w:val="0"/>
        </w:rPr>
      </w:pPr>
      <w:r w:rsidRPr="0061452E">
        <w:rPr>
          <w:snapToGrid w:val="0"/>
        </w:rPr>
        <w:t>If not, has the utility demonstrated that it was reasonable not to consolidate returns? TWC § 13.185(f).</w:t>
      </w:r>
    </w:p>
    <w:p w:rsidR="0061452E" w:rsidRPr="0061452E" w:rsidRDefault="0061452E" w:rsidP="0061452E">
      <w:pPr>
        <w:pStyle w:val="IssueList"/>
      </w:pPr>
      <w:r w:rsidRPr="0061452E">
        <w:t xml:space="preserve">What is the reasonable and necessary amount of the utility’s accumulated reserve for deferred federal income taxes, unamortized investment tax credits, contingency reserves, property insurance reserves, </w:t>
      </w:r>
      <w:proofErr w:type="gramStart"/>
      <w:r w:rsidRPr="0061452E">
        <w:t>contributions</w:t>
      </w:r>
      <w:proofErr w:type="gramEnd"/>
      <w:r w:rsidRPr="0061452E">
        <w:t xml:space="preserve"> in aid of construction, customer deposits, and other sources of cost-free capital?  What other items should be deducted from the utility’s rate base?</w:t>
      </w:r>
    </w:p>
    <w:p w:rsidR="0061452E" w:rsidRPr="0061452E" w:rsidRDefault="0061452E" w:rsidP="0061452E">
      <w:pPr>
        <w:pStyle w:val="IssueList"/>
      </w:pPr>
      <w:r w:rsidRPr="0061452E">
        <w:t xml:space="preserve">What is the reasonable and necessary amount for municipal franchise fees, if any, to be included in rates? </w:t>
      </w:r>
    </w:p>
    <w:p w:rsidR="0061452E" w:rsidRPr="0061452E" w:rsidRDefault="0061452E" w:rsidP="0061452E">
      <w:pPr>
        <w:pStyle w:val="IssueList"/>
      </w:pPr>
      <w:r w:rsidRPr="0061452E">
        <w:t>What regulatory assets are appropriately included in the utility’s rate base?  If such assets are included in rate base, what is the appropriate treatment of such assets?</w:t>
      </w:r>
    </w:p>
    <w:p w:rsidR="0061452E" w:rsidRPr="0061452E" w:rsidRDefault="0061452E" w:rsidP="0061452E">
      <w:pPr>
        <w:pStyle w:val="IssueList"/>
      </w:pPr>
      <w:r w:rsidRPr="0061452E">
        <w:t>Is the utility seeking rates for both water and sewer service?  If so, is each component of cost of service (each allowable expense and all return on invested capital) properly allocated between water and sewer services?</w:t>
      </w:r>
    </w:p>
    <w:p w:rsidR="0061452E" w:rsidRPr="0061452E" w:rsidRDefault="0061452E" w:rsidP="0061452E">
      <w:pPr>
        <w:pStyle w:val="IssueList"/>
      </w:pPr>
      <w:r w:rsidRPr="0061452E">
        <w:t>What is the appropriate allocation of costs and revenues among the utility’s rate classes?</w:t>
      </w:r>
    </w:p>
    <w:p w:rsidR="0061452E" w:rsidRPr="0061452E" w:rsidRDefault="0061452E" w:rsidP="0061452E">
      <w:pPr>
        <w:pStyle w:val="IssueList"/>
      </w:pPr>
      <w:r w:rsidRPr="0061452E">
        <w:t>What is the appropriate rate design for each rate class? 16 TAC § 24.32.</w:t>
      </w:r>
    </w:p>
    <w:p w:rsidR="0061452E" w:rsidRPr="0061452E" w:rsidRDefault="0061452E" w:rsidP="0061452E">
      <w:pPr>
        <w:pStyle w:val="IssueList"/>
      </w:pPr>
      <w:r w:rsidRPr="0061452E">
        <w:t>Should the utility use the current number of connections as of the date of the application as opposed to using the number of test-year-end connections in designing rates?</w:t>
      </w:r>
    </w:p>
    <w:p w:rsidR="0061452E" w:rsidRPr="0061452E" w:rsidRDefault="0061452E" w:rsidP="0061452E">
      <w:pPr>
        <w:pStyle w:val="IssueList"/>
      </w:pPr>
      <w:r w:rsidRPr="0061452E">
        <w:t>What are the utility’s expenses incurred in this rate proceeding that are just, reasonable, necessary, and in the public interest? 16 TAC § 24.33.  Does that amount include any prospective rate-case expenses to be incurred after the Commission’s final order?  Should the utility be able to recover its reasonable and necessary rate-case expenses from ratepayers?  If so, how should such expenses, if any, be recovered by the utility?</w:t>
      </w:r>
    </w:p>
    <w:p w:rsidR="0061452E" w:rsidRPr="0061452E" w:rsidRDefault="0061452E" w:rsidP="0061452E">
      <w:pPr>
        <w:pStyle w:val="IssueList"/>
      </w:pPr>
      <w:r w:rsidRPr="0061452E">
        <w:t>If a refund or surcharge results from this proceeding, how and over what period of time should that be made? TWC § 13.1871.</w:t>
      </w:r>
    </w:p>
    <w:p w:rsidR="0061452E" w:rsidRPr="0061452E" w:rsidRDefault="0061452E" w:rsidP="0061452E">
      <w:pPr>
        <w:pStyle w:val="IssueList"/>
      </w:pPr>
      <w:r w:rsidRPr="0061452E">
        <w:t>Has the utility met the requirements for a request for interim relief in the form of interim rates?  If so, what are the appropriate levels of the interim rates? 16 TAC § 24.29.</w:t>
      </w:r>
    </w:p>
    <w:p w:rsidR="006F2036" w:rsidRPr="003C35B5" w:rsidRDefault="0061452E" w:rsidP="0061452E">
      <w:pPr>
        <w:pStyle w:val="IssueList"/>
      </w:pPr>
      <w:r w:rsidRPr="0061452E">
        <w:t>What is the appropriate effective date of the rates fixed by the Commission in this proceeding? TWC § 13.1871.</w:t>
      </w:r>
    </w:p>
    <w:p w:rsidR="006F2036" w:rsidRPr="003C35B5" w:rsidRDefault="006F2036" w:rsidP="006F2036">
      <w:pPr>
        <w:pStyle w:val="BodyText"/>
      </w:pPr>
      <w:r w:rsidRPr="003C35B5">
        <w:t xml:space="preserve">This list of issues is not intended to be exhaustive.  The parties and the ALJ are free to raise and address any issues relevant in this docket that they deem necessary, subject to any limitations imposed by the ALJ, or by the Commission in future orders issued in this docket.  The Commission </w:t>
      </w:r>
      <w:r>
        <w:t>may</w:t>
      </w:r>
      <w:r w:rsidRPr="003C35B5">
        <w:t xml:space="preserve"> identify and provide to the ALJ in the future any additional issues or areas that must be addressed, as permitted under</w:t>
      </w:r>
      <w:r w:rsidRPr="003C35B5">
        <w:rPr>
          <w:smallCaps/>
        </w:rPr>
        <w:t xml:space="preserve"> </w:t>
      </w:r>
      <w:r w:rsidR="00EE251A">
        <w:t>Texas Government Code</w:t>
      </w:r>
      <w:r w:rsidRPr="003C35B5">
        <w:t xml:space="preserve"> §</w:t>
      </w:r>
      <w:r>
        <w:t> </w:t>
      </w:r>
      <w:r w:rsidRPr="003C35B5">
        <w:t>2003.049(e).</w:t>
      </w:r>
    </w:p>
    <w:p w:rsidR="006F2036" w:rsidRPr="003C35B5" w:rsidRDefault="006F2036" w:rsidP="006F2036">
      <w:pPr>
        <w:pStyle w:val="Heading1"/>
        <w:keepLines w:val="0"/>
        <w:tabs>
          <w:tab w:val="clear" w:pos="360"/>
        </w:tabs>
        <w:spacing w:before="480"/>
      </w:pPr>
      <w:r w:rsidRPr="003C35B5">
        <w:lastRenderedPageBreak/>
        <w:t>Effect of Preliminary Order</w:t>
      </w:r>
    </w:p>
    <w:p w:rsidR="006F2036" w:rsidRDefault="006F2036" w:rsidP="006F2036">
      <w:pPr>
        <w:pStyle w:val="BodyText"/>
      </w:pPr>
      <w:r w:rsidRPr="003C35B5">
        <w:t xml:space="preserve">This </w:t>
      </w:r>
      <w:r>
        <w:t>o</w:t>
      </w:r>
      <w:r w:rsidRPr="003C35B5">
        <w:t xml:space="preserve">rder is preliminary in nature and is entered without prejudice to any party expressing views contrary to this </w:t>
      </w:r>
      <w:r>
        <w:t>o</w:t>
      </w:r>
      <w:r w:rsidRPr="003C35B5">
        <w:t xml:space="preserve">rder before the SOAH ALJ at hearing.  The SOAH ALJ, upon his or her own motion or upon the motion of any party, may deviate from this </w:t>
      </w:r>
      <w:r>
        <w:t>o</w:t>
      </w:r>
      <w:r w:rsidRPr="003C35B5">
        <w:t xml:space="preserve">rder when circumstances dictate that it is reasonable to do so.  Any ruling by the SOAH ALJ that deviates from this </w:t>
      </w:r>
      <w:r>
        <w:t>o</w:t>
      </w:r>
      <w:r w:rsidRPr="003C35B5">
        <w:t xml:space="preserve">rder may be appealed to the Commission.  The Commission will not address whether this </w:t>
      </w:r>
      <w:r>
        <w:t>o</w:t>
      </w:r>
      <w:r w:rsidRPr="003C35B5">
        <w:t xml:space="preserve">rder should be modified except upon its own motion or the appeal of a SOAH ALJ’s order.  Furthermore, this </w:t>
      </w:r>
      <w:r>
        <w:t>o</w:t>
      </w:r>
      <w:r w:rsidRPr="003C35B5">
        <w:t>rder is not subject to motions for rehearing or reconsideration.</w:t>
      </w:r>
    </w:p>
    <w:p w:rsidR="00EE251A" w:rsidRDefault="00EE251A">
      <w:pPr>
        <w:spacing w:after="160" w:line="259" w:lineRule="auto"/>
      </w:pPr>
      <w:bookmarkStart w:id="0" w:name="_GoBack"/>
      <w:bookmarkEnd w:id="0"/>
    </w:p>
    <w:p w:rsidR="00160DCD" w:rsidRDefault="00160DCD" w:rsidP="00160DCD"/>
    <w:p w:rsidR="00160DCD" w:rsidRDefault="00160DCD" w:rsidP="00160DCD">
      <w:pPr>
        <w:pStyle w:val="Dateline"/>
      </w:pPr>
      <w:r>
        <w:lastRenderedPageBreak/>
        <w:t xml:space="preserve">Signed at Austin, Texas the ______ day of </w:t>
      </w:r>
      <w:r w:rsidR="00C41F52">
        <w:t>October</w:t>
      </w:r>
      <w:r>
        <w:t xml:space="preserve"> 201</w:t>
      </w:r>
      <w:r w:rsidR="00C41F52">
        <w:t>7</w:t>
      </w:r>
      <w:r w:rsidR="008D1724">
        <w:t>.</w:t>
      </w:r>
    </w:p>
    <w:p w:rsidR="00160DCD" w:rsidRDefault="00160DCD" w:rsidP="008D1724">
      <w:pPr>
        <w:pStyle w:val="Dateline"/>
      </w:pPr>
    </w:p>
    <w:p w:rsidR="008D1724" w:rsidRDefault="008D1724" w:rsidP="008D1724">
      <w:pPr>
        <w:pStyle w:val="Dateline"/>
      </w:pPr>
    </w:p>
    <w:p w:rsidR="00160DCD" w:rsidRDefault="00160DCD" w:rsidP="00160DCD">
      <w:pPr>
        <w:pStyle w:val="Signatures"/>
      </w:pPr>
      <w:r>
        <w:t>PUBLIC UTILITY COMMISSION OF TEXAS</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C41F52" w:rsidP="00160DCD">
      <w:pPr>
        <w:pStyle w:val="Signatures"/>
      </w:pPr>
      <w:r>
        <w:t>DEANN T. WALKER</w:t>
      </w:r>
      <w:r w:rsidR="00160DCD">
        <w:t>, CHAIRMAN</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160DCD" w:rsidP="00160DCD">
      <w:pPr>
        <w:pStyle w:val="Signatures"/>
      </w:pPr>
      <w:r>
        <w:t>KENNETH W. ANDERSON, JR., COMMISSIONER</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FF1816" w:rsidP="00160DCD">
      <w:pPr>
        <w:pStyle w:val="Signatures"/>
      </w:pPr>
      <w:r w:rsidRPr="00160DCD">
        <w:t>______________________________________________</w:t>
      </w:r>
    </w:p>
    <w:p w:rsidR="00160DCD" w:rsidRDefault="00FF1816" w:rsidP="00160DCD">
      <w:pPr>
        <w:pStyle w:val="Signatures"/>
      </w:pPr>
      <w:r>
        <w:t>BRANDY MARTY MARQUEZ</w:t>
      </w:r>
      <w:r w:rsidR="00160DCD">
        <w:t>, COMMISSIONER</w:t>
      </w:r>
    </w:p>
    <w:p w:rsidR="00160DCD" w:rsidRDefault="00160DCD" w:rsidP="00160DCD"/>
    <w:p w:rsidR="00160DCD" w:rsidRDefault="00160DCD" w:rsidP="00160DCD"/>
    <w:p w:rsidR="00160DCD" w:rsidRDefault="00160DCD" w:rsidP="00160DCD"/>
    <w:p w:rsidR="00FE4318" w:rsidRDefault="00FE4318" w:rsidP="0062202F">
      <w:pPr>
        <w:pStyle w:val="EndMatter"/>
      </w:pPr>
      <w:r>
        <w:t>W2013</w:t>
      </w:r>
    </w:p>
    <w:p w:rsidR="00160DCD" w:rsidRDefault="00B267BB" w:rsidP="0062202F">
      <w:pPr>
        <w:pStyle w:val="EndMatter"/>
      </w:pPr>
      <w:r>
        <w:fldChar w:fldCharType="begin"/>
      </w:r>
      <w:r>
        <w:instrText xml:space="preserve"> FILENAME  \* Lower \p  \* MERGEFORMAT </w:instrText>
      </w:r>
      <w:r>
        <w:fldChar w:fldCharType="separate"/>
      </w:r>
      <w:r w:rsidR="00C41F52">
        <w:rPr>
          <w:noProof/>
        </w:rPr>
        <w:t>q:\cadm\orders\prelim\47000\47275 dpo.docx</w:t>
      </w:r>
      <w:r>
        <w:rPr>
          <w:noProof/>
        </w:rPr>
        <w:fldChar w:fldCharType="end"/>
      </w:r>
    </w:p>
    <w:p w:rsidR="00160DCD" w:rsidRDefault="00160DCD" w:rsidP="0062202F">
      <w:pPr>
        <w:pStyle w:val="EndMatter"/>
      </w:pPr>
    </w:p>
    <w:sectPr w:rsidR="00160DCD" w:rsidSect="00ED04FC">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6DA7" w:rsidRDefault="00C06DA7" w:rsidP="00D03394">
      <w:r>
        <w:separator/>
      </w:r>
    </w:p>
  </w:endnote>
  <w:endnote w:type="continuationSeparator" w:id="0">
    <w:p w:rsidR="00C06DA7" w:rsidRDefault="00C06DA7"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6DA7" w:rsidRDefault="00C06DA7" w:rsidP="00D03394">
      <w:r>
        <w:separator/>
      </w:r>
    </w:p>
  </w:footnote>
  <w:footnote w:type="continuationSeparator" w:id="0">
    <w:p w:rsidR="00C06DA7" w:rsidRDefault="00C06DA7" w:rsidP="00D03394">
      <w:r>
        <w:continuationSeparator/>
      </w:r>
    </w:p>
  </w:footnote>
  <w:footnote w:id="1">
    <w:p w:rsidR="0002406D" w:rsidRDefault="0002406D">
      <w:pPr>
        <w:pStyle w:val="FootnoteText"/>
      </w:pPr>
      <w:r>
        <w:rPr>
          <w:rStyle w:val="FootnoteReference"/>
        </w:rPr>
        <w:footnoteRef/>
      </w:r>
      <w:r>
        <w:t xml:space="preserve">  The Commons Response to Staff’s Recommendation at Schedule I-3.</w:t>
      </w:r>
    </w:p>
  </w:footnote>
  <w:footnote w:id="2">
    <w:p w:rsidR="00054914" w:rsidRDefault="00054914" w:rsidP="00054914">
      <w:pPr>
        <w:pStyle w:val="FootnoteText"/>
      </w:pPr>
      <w:r>
        <w:rPr>
          <w:rStyle w:val="FootnoteReference"/>
        </w:rPr>
        <w:footnoteRef/>
      </w:r>
      <w:r>
        <w:t xml:space="preserve">  Application at 1.</w:t>
      </w:r>
    </w:p>
  </w:footnote>
  <w:footnote w:id="3">
    <w:p w:rsidR="00EE251A" w:rsidRDefault="00EE251A">
      <w:pPr>
        <w:pStyle w:val="FootnoteText"/>
      </w:pPr>
      <w:r>
        <w:rPr>
          <w:rStyle w:val="FootnoteReference"/>
        </w:rPr>
        <w:footnoteRef/>
      </w:r>
      <w:r>
        <w:t xml:space="preserve">  Application at 53, the Commons Response to Staff’s Recommendation at </w:t>
      </w:r>
      <w:r w:rsidR="0017369E">
        <w:t>4</w:t>
      </w:r>
      <w:r>
        <w:t>.</w:t>
      </w:r>
    </w:p>
  </w:footnote>
  <w:footnote w:id="4">
    <w:p w:rsidR="00054914" w:rsidRDefault="00054914" w:rsidP="00054914">
      <w:pPr>
        <w:pStyle w:val="FootnoteText"/>
      </w:pPr>
      <w:r>
        <w:rPr>
          <w:rStyle w:val="FootnoteReference"/>
        </w:rPr>
        <w:footnoteRef/>
      </w:r>
      <w:r w:rsidR="0017369E">
        <w:t xml:space="preserve">  T</w:t>
      </w:r>
      <w:r w:rsidR="0017369E">
        <w:t>he Commons Response to Staff’s Recommendation at 4.</w:t>
      </w:r>
    </w:p>
  </w:footnote>
  <w:footnote w:id="5">
    <w:p w:rsidR="0017369E" w:rsidRDefault="0017369E">
      <w:pPr>
        <w:pStyle w:val="FootnoteText"/>
      </w:pPr>
      <w:r>
        <w:rPr>
          <w:rStyle w:val="FootnoteReference"/>
        </w:rPr>
        <w:footnoteRef/>
      </w:r>
      <w:r>
        <w:t xml:space="preserve">  </w:t>
      </w:r>
      <w:r w:rsidRPr="0017369E">
        <w:rPr>
          <w:i/>
        </w:rPr>
        <w:t>Id</w:t>
      </w:r>
      <w:r>
        <w:t>.</w:t>
      </w:r>
      <w:r>
        <w:t xml:space="preserve"> at </w:t>
      </w:r>
      <w:r>
        <w:t>2.</w:t>
      </w:r>
    </w:p>
  </w:footnote>
  <w:footnote w:id="6">
    <w:p w:rsidR="0017369E" w:rsidRDefault="0017369E">
      <w:pPr>
        <w:pStyle w:val="FootnoteText"/>
      </w:pPr>
      <w:r>
        <w:rPr>
          <w:rStyle w:val="FootnoteReference"/>
        </w:rPr>
        <w:footnoteRef/>
      </w:r>
      <w:r>
        <w:t xml:space="preserve">  </w:t>
      </w:r>
      <w:r w:rsidRPr="0017369E">
        <w:rPr>
          <w:i/>
        </w:rPr>
        <w:t>Id</w:t>
      </w:r>
      <w:r>
        <w:t>.</w:t>
      </w:r>
    </w:p>
  </w:footnote>
  <w:footnote w:id="7">
    <w:p w:rsidR="0017369E" w:rsidRDefault="0017369E">
      <w:pPr>
        <w:pStyle w:val="FootnoteText"/>
      </w:pPr>
      <w:r>
        <w:rPr>
          <w:rStyle w:val="FootnoteReference"/>
        </w:rPr>
        <w:footnoteRef/>
      </w:r>
      <w:r>
        <w:t xml:space="preserve">  </w:t>
      </w:r>
      <w:r w:rsidRPr="0017369E">
        <w:rPr>
          <w:i/>
        </w:rPr>
        <w:t>Id</w:t>
      </w:r>
      <w:r>
        <w:t>.</w:t>
      </w:r>
    </w:p>
  </w:footnote>
  <w:footnote w:id="8">
    <w:p w:rsidR="00054914" w:rsidRDefault="00054914" w:rsidP="00054914">
      <w:pPr>
        <w:pStyle w:val="FootnoteText"/>
      </w:pPr>
      <w:r>
        <w:rPr>
          <w:rStyle w:val="FootnoteReference"/>
        </w:rPr>
        <w:footnoteRef/>
      </w:r>
      <w:r>
        <w:t xml:space="preserve">  </w:t>
      </w:r>
      <w:r w:rsidR="0002406D" w:rsidRPr="0002406D">
        <w:t>Application at 51.</w:t>
      </w:r>
    </w:p>
  </w:footnote>
  <w:footnote w:id="9">
    <w:p w:rsidR="0002406D" w:rsidRDefault="0002406D">
      <w:pPr>
        <w:pStyle w:val="FootnoteText"/>
      </w:pPr>
      <w:r>
        <w:rPr>
          <w:rStyle w:val="FootnoteReference"/>
        </w:rPr>
        <w:footnoteRef/>
      </w:r>
      <w:r>
        <w:t xml:space="preserve"> </w:t>
      </w:r>
      <w:r w:rsidR="00EE251A">
        <w:t xml:space="preserve"> Order No. 3 (Sept. 12, 2017).</w:t>
      </w:r>
    </w:p>
  </w:footnote>
  <w:footnote w:id="10">
    <w:p w:rsidR="006F2036" w:rsidRPr="002133F3" w:rsidRDefault="006F2036" w:rsidP="006F2036">
      <w:pPr>
        <w:pStyle w:val="FootnoteText"/>
        <w:rPr>
          <w:lang w:val="pt-BR"/>
        </w:rPr>
      </w:pPr>
      <w:r>
        <w:rPr>
          <w:rStyle w:val="FootnoteReference"/>
        </w:rPr>
        <w:footnoteRef/>
      </w:r>
      <w:r w:rsidRPr="002133F3">
        <w:rPr>
          <w:lang w:val="pt-BR"/>
        </w:rPr>
        <w:t xml:space="preserve">  </w:t>
      </w:r>
      <w:r w:rsidRPr="001F10CC">
        <w:rPr>
          <w:lang w:val="pt-BR"/>
        </w:rPr>
        <w:t>Tex. Gov’t Code Ann</w:t>
      </w:r>
      <w:r w:rsidRPr="002133F3">
        <w:rPr>
          <w:smallCaps/>
          <w:lang w:val="pt-BR"/>
        </w:rPr>
        <w:t>.</w:t>
      </w:r>
      <w:r>
        <w:rPr>
          <w:lang w:val="pt-BR"/>
        </w:rPr>
        <w:t xml:space="preserve"> § 2003.049(e) (</w:t>
      </w:r>
      <w:r w:rsidR="00B267BB">
        <w:rPr>
          <w:lang w:val="pt-BR"/>
        </w:rPr>
        <w:t>West 2008 and Supp. 2015</w:t>
      </w:r>
      <w:r w:rsidRPr="002133F3">
        <w:rPr>
          <w:lang w:val="pt-BR"/>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ED04FC">
    <w:pPr>
      <w:pStyle w:val="Header"/>
    </w:pPr>
    <w:r>
      <w:t>PUC Docket No. </w:t>
    </w:r>
    <w:r w:rsidR="00C06DA7">
      <w:t>47275</w:t>
    </w:r>
    <w:r>
      <w:tab/>
    </w:r>
    <w:r w:rsidR="00B12AC5">
      <w:t xml:space="preserve">Draft Preliminary </w:t>
    </w:r>
    <w:r>
      <w:t>Order</w:t>
    </w:r>
    <w:r>
      <w:tab/>
      <w:t xml:space="preserve">Page </w:t>
    </w:r>
    <w:r>
      <w:fldChar w:fldCharType="begin"/>
    </w:r>
    <w:r>
      <w:instrText xml:space="preserve"> PAGE   \* MERGEFORMAT </w:instrText>
    </w:r>
    <w:r>
      <w:fldChar w:fldCharType="separate"/>
    </w:r>
    <w:r w:rsidR="00B267BB">
      <w:rPr>
        <w:noProof/>
      </w:rPr>
      <w:t>7</w:t>
    </w:r>
    <w:r>
      <w:fldChar w:fldCharType="end"/>
    </w:r>
    <w:r>
      <w:t xml:space="preserve"> of </w:t>
    </w:r>
    <w:fldSimple w:instr=" NUMPAGES   \* MERGEFORMAT ">
      <w:r w:rsidR="00B267BB">
        <w:rPr>
          <w:noProof/>
        </w:rPr>
        <w:t>7</w:t>
      </w:r>
    </w:fldSimple>
  </w:p>
  <w:p w:rsidR="00ED04FC" w:rsidRDefault="00ED04FC">
    <w:pPr>
      <w:pStyle w:val="Header"/>
    </w:pPr>
    <w:r>
      <w:t>SOAH Docket No. </w:t>
    </w:r>
    <w:r w:rsidR="00C06DA7">
      <w:t>473-18-0193.WS</w:t>
    </w:r>
  </w:p>
  <w:p w:rsidR="00ED04FC" w:rsidRDefault="00ED04FC">
    <w:pPr>
      <w:pStyle w:val="Header"/>
    </w:pPr>
  </w:p>
  <w:p w:rsidR="00ED04FC" w:rsidRDefault="00ED0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C7726"/>
    <w:multiLevelType w:val="singleLevel"/>
    <w:tmpl w:val="F154CCDC"/>
    <w:lvl w:ilvl="0">
      <w:start w:val="1"/>
      <w:numFmt w:val="decimal"/>
      <w:lvlText w:val="%1."/>
      <w:lvlJc w:val="left"/>
      <w:pPr>
        <w:tabs>
          <w:tab w:val="num" w:pos="720"/>
        </w:tabs>
        <w:ind w:left="720" w:hanging="720"/>
      </w:pPr>
    </w:lvl>
  </w:abstractNum>
  <w:abstractNum w:abstractNumId="1" w15:restartNumberingAfterBreak="0">
    <w:nsid w:val="09AA6C49"/>
    <w:multiLevelType w:val="hybridMultilevel"/>
    <w:tmpl w:val="5106A5E0"/>
    <w:lvl w:ilvl="0" w:tplc="4112DA9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BB67C25"/>
    <w:multiLevelType w:val="multilevel"/>
    <w:tmpl w:val="D6224ED0"/>
    <w:lvl w:ilvl="0">
      <w:start w:val="1"/>
      <w:numFmt w:val="decimal"/>
      <w:pStyle w:val="IssueList"/>
      <w:lvlText w:val="%1."/>
      <w:lvlJc w:val="left"/>
      <w:pPr>
        <w:ind w:left="360" w:hanging="360"/>
      </w:pPr>
      <w:rPr>
        <w:rFonts w:hint="default"/>
      </w:rPr>
    </w:lvl>
    <w:lvl w:ilvl="1">
      <w:start w:val="1"/>
      <w:numFmt w:val="lowerLetter"/>
      <w:pStyle w:val="Issuesublist"/>
      <w:lvlText w:val="%2."/>
      <w:lvlJc w:val="left"/>
      <w:pPr>
        <w:ind w:left="720" w:hanging="360"/>
      </w:pPr>
      <w:rPr>
        <w:rFonts w:hint="default"/>
      </w:rPr>
    </w:lvl>
    <w:lvl w:ilvl="2">
      <w:start w:val="1"/>
      <w:numFmt w:val="lowerRoman"/>
      <w:pStyle w:val="Issuesub2list"/>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91315B5"/>
    <w:multiLevelType w:val="hybridMultilevel"/>
    <w:tmpl w:val="1EC4C7B8"/>
    <w:lvl w:ilvl="0" w:tplc="010C9A88">
      <w:start w:val="1"/>
      <w:numFmt w:val="upperRoman"/>
      <w:lvlText w:val="%1."/>
      <w:lvlJc w:val="right"/>
      <w:pPr>
        <w:ind w:left="720" w:hanging="360"/>
      </w:pPr>
    </w:lvl>
    <w:lvl w:ilvl="1" w:tplc="EBB646DC" w:tentative="1">
      <w:start w:val="1"/>
      <w:numFmt w:val="lowerLetter"/>
      <w:lvlText w:val="%2."/>
      <w:lvlJc w:val="left"/>
      <w:pPr>
        <w:ind w:left="1440" w:hanging="360"/>
      </w:pPr>
    </w:lvl>
    <w:lvl w:ilvl="2" w:tplc="B6E03B6C" w:tentative="1">
      <w:start w:val="1"/>
      <w:numFmt w:val="lowerRoman"/>
      <w:lvlText w:val="%3."/>
      <w:lvlJc w:val="right"/>
      <w:pPr>
        <w:ind w:left="2160" w:hanging="180"/>
      </w:pPr>
    </w:lvl>
    <w:lvl w:ilvl="3" w:tplc="F5963CDC" w:tentative="1">
      <w:start w:val="1"/>
      <w:numFmt w:val="decimal"/>
      <w:lvlText w:val="%4."/>
      <w:lvlJc w:val="left"/>
      <w:pPr>
        <w:ind w:left="2880" w:hanging="360"/>
      </w:pPr>
    </w:lvl>
    <w:lvl w:ilvl="4" w:tplc="183E6F84" w:tentative="1">
      <w:start w:val="1"/>
      <w:numFmt w:val="lowerLetter"/>
      <w:lvlText w:val="%5."/>
      <w:lvlJc w:val="left"/>
      <w:pPr>
        <w:ind w:left="3600" w:hanging="360"/>
      </w:pPr>
    </w:lvl>
    <w:lvl w:ilvl="5" w:tplc="88EAE010" w:tentative="1">
      <w:start w:val="1"/>
      <w:numFmt w:val="lowerRoman"/>
      <w:lvlText w:val="%6."/>
      <w:lvlJc w:val="right"/>
      <w:pPr>
        <w:ind w:left="4320" w:hanging="180"/>
      </w:pPr>
    </w:lvl>
    <w:lvl w:ilvl="6" w:tplc="4094E592" w:tentative="1">
      <w:start w:val="1"/>
      <w:numFmt w:val="decimal"/>
      <w:lvlText w:val="%7."/>
      <w:lvlJc w:val="left"/>
      <w:pPr>
        <w:ind w:left="5040" w:hanging="360"/>
      </w:pPr>
    </w:lvl>
    <w:lvl w:ilvl="7" w:tplc="B0A4113E" w:tentative="1">
      <w:start w:val="1"/>
      <w:numFmt w:val="lowerLetter"/>
      <w:lvlText w:val="%8."/>
      <w:lvlJc w:val="left"/>
      <w:pPr>
        <w:ind w:left="5760" w:hanging="360"/>
      </w:pPr>
    </w:lvl>
    <w:lvl w:ilvl="8" w:tplc="EF3C6186" w:tentative="1">
      <w:start w:val="1"/>
      <w:numFmt w:val="lowerRoman"/>
      <w:lvlText w:val="%9."/>
      <w:lvlJc w:val="right"/>
      <w:pPr>
        <w:ind w:left="6480" w:hanging="180"/>
      </w:pPr>
    </w:lvl>
  </w:abstractNum>
  <w:abstractNum w:abstractNumId="4"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5" w15:restartNumberingAfterBreak="0">
    <w:nsid w:val="38E96F2E"/>
    <w:multiLevelType w:val="multilevel"/>
    <w:tmpl w:val="394C657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EC5442D"/>
    <w:multiLevelType w:val="singleLevel"/>
    <w:tmpl w:val="010203BE"/>
    <w:lvl w:ilvl="0">
      <w:start w:val="1"/>
      <w:numFmt w:val="decimal"/>
      <w:lvlText w:val="%1."/>
      <w:legacy w:legacy="1" w:legacySpace="0" w:legacyIndent="360"/>
      <w:lvlJc w:val="left"/>
      <w:pPr>
        <w:ind w:left="360" w:hanging="360"/>
      </w:pPr>
      <w:rPr>
        <w:vertAlign w:val="baseline"/>
      </w:rPr>
    </w:lvl>
  </w:abstractNum>
  <w:abstractNum w:abstractNumId="7" w15:restartNumberingAfterBreak="0">
    <w:nsid w:val="5FF6204A"/>
    <w:multiLevelType w:val="hybridMultilevel"/>
    <w:tmpl w:val="5F64109C"/>
    <w:lvl w:ilvl="0" w:tplc="9E769320">
      <w:start w:val="1"/>
      <w:numFmt w:val="decimal"/>
      <w:pStyle w:val="ThresholdIssue"/>
      <w:lvlText w:val="%1."/>
      <w:lvlJc w:val="left"/>
      <w:pPr>
        <w:tabs>
          <w:tab w:val="num" w:pos="720"/>
        </w:tabs>
        <w:ind w:left="720" w:hanging="720"/>
      </w:pPr>
      <w:rPr>
        <w:rFonts w:hint="default"/>
        <w:b/>
      </w:rPr>
    </w:lvl>
    <w:lvl w:ilvl="1" w:tplc="DD5A7DF2" w:tentative="1">
      <w:start w:val="1"/>
      <w:numFmt w:val="lowerLetter"/>
      <w:lvlText w:val="%2."/>
      <w:lvlJc w:val="left"/>
      <w:pPr>
        <w:tabs>
          <w:tab w:val="num" w:pos="720"/>
        </w:tabs>
        <w:ind w:left="720" w:hanging="360"/>
      </w:pPr>
    </w:lvl>
    <w:lvl w:ilvl="2" w:tplc="15084DAC" w:tentative="1">
      <w:start w:val="1"/>
      <w:numFmt w:val="lowerRoman"/>
      <w:lvlText w:val="%3."/>
      <w:lvlJc w:val="right"/>
      <w:pPr>
        <w:tabs>
          <w:tab w:val="num" w:pos="1440"/>
        </w:tabs>
        <w:ind w:left="1440" w:hanging="180"/>
      </w:pPr>
    </w:lvl>
    <w:lvl w:ilvl="3" w:tplc="1D605B4E" w:tentative="1">
      <w:start w:val="1"/>
      <w:numFmt w:val="decimal"/>
      <w:lvlText w:val="%4."/>
      <w:lvlJc w:val="left"/>
      <w:pPr>
        <w:tabs>
          <w:tab w:val="num" w:pos="2160"/>
        </w:tabs>
        <w:ind w:left="2160" w:hanging="360"/>
      </w:pPr>
    </w:lvl>
    <w:lvl w:ilvl="4" w:tplc="350A1986" w:tentative="1">
      <w:start w:val="1"/>
      <w:numFmt w:val="lowerLetter"/>
      <w:lvlText w:val="%5."/>
      <w:lvlJc w:val="left"/>
      <w:pPr>
        <w:tabs>
          <w:tab w:val="num" w:pos="2880"/>
        </w:tabs>
        <w:ind w:left="2880" w:hanging="360"/>
      </w:pPr>
    </w:lvl>
    <w:lvl w:ilvl="5" w:tplc="73249782" w:tentative="1">
      <w:start w:val="1"/>
      <w:numFmt w:val="lowerRoman"/>
      <w:lvlText w:val="%6."/>
      <w:lvlJc w:val="right"/>
      <w:pPr>
        <w:tabs>
          <w:tab w:val="num" w:pos="3600"/>
        </w:tabs>
        <w:ind w:left="3600" w:hanging="180"/>
      </w:pPr>
    </w:lvl>
    <w:lvl w:ilvl="6" w:tplc="D11E18A0" w:tentative="1">
      <w:start w:val="1"/>
      <w:numFmt w:val="decimal"/>
      <w:lvlText w:val="%7."/>
      <w:lvlJc w:val="left"/>
      <w:pPr>
        <w:tabs>
          <w:tab w:val="num" w:pos="4320"/>
        </w:tabs>
        <w:ind w:left="4320" w:hanging="360"/>
      </w:pPr>
    </w:lvl>
    <w:lvl w:ilvl="7" w:tplc="26061724" w:tentative="1">
      <w:start w:val="1"/>
      <w:numFmt w:val="lowerLetter"/>
      <w:lvlText w:val="%8."/>
      <w:lvlJc w:val="left"/>
      <w:pPr>
        <w:tabs>
          <w:tab w:val="num" w:pos="5040"/>
        </w:tabs>
        <w:ind w:left="5040" w:hanging="360"/>
      </w:pPr>
    </w:lvl>
    <w:lvl w:ilvl="8" w:tplc="416AF922" w:tentative="1">
      <w:start w:val="1"/>
      <w:numFmt w:val="lowerRoman"/>
      <w:lvlText w:val="%9."/>
      <w:lvlJc w:val="right"/>
      <w:pPr>
        <w:tabs>
          <w:tab w:val="num" w:pos="5760"/>
        </w:tabs>
        <w:ind w:left="5760" w:hanging="180"/>
      </w:pPr>
    </w:lvl>
  </w:abstractNum>
  <w:abstractNum w:abstractNumId="8" w15:restartNumberingAfterBreak="0">
    <w:nsid w:val="666B6E08"/>
    <w:multiLevelType w:val="hybridMultilevel"/>
    <w:tmpl w:val="0C4E73D2"/>
    <w:lvl w:ilvl="0" w:tplc="86D056AE">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9FA62C6"/>
    <w:multiLevelType w:val="hybridMultilevel"/>
    <w:tmpl w:val="F9D88EA8"/>
    <w:lvl w:ilvl="0" w:tplc="2F80871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11"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3"/>
  </w:num>
  <w:num w:numId="2">
    <w:abstractNumId w:val="4"/>
  </w:num>
  <w:num w:numId="3">
    <w:abstractNumId w:val="2"/>
  </w:num>
  <w:num w:numId="4">
    <w:abstractNumId w:val="11"/>
  </w:num>
  <w:num w:numId="5">
    <w:abstractNumId w:val="4"/>
  </w:num>
  <w:num w:numId="6">
    <w:abstractNumId w:val="8"/>
  </w:num>
  <w:num w:numId="7">
    <w:abstractNumId w:val="10"/>
  </w:num>
  <w:num w:numId="8">
    <w:abstractNumId w:val="0"/>
  </w:num>
  <w:num w:numId="9">
    <w:abstractNumId w:val="7"/>
  </w:num>
  <w:num w:numId="10">
    <w:abstractNumId w:val="5"/>
  </w:num>
  <w:num w:numId="11">
    <w:abstractNumId w:val="6"/>
  </w:num>
  <w:num w:numId="12">
    <w:abstractNumId w:val="9"/>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1"/>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6DA7"/>
    <w:rsid w:val="0002406D"/>
    <w:rsid w:val="00054914"/>
    <w:rsid w:val="000E5DBE"/>
    <w:rsid w:val="001169CA"/>
    <w:rsid w:val="00160DCD"/>
    <w:rsid w:val="0017369E"/>
    <w:rsid w:val="001E360C"/>
    <w:rsid w:val="001F10CC"/>
    <w:rsid w:val="00266F9F"/>
    <w:rsid w:val="002D72D4"/>
    <w:rsid w:val="00312838"/>
    <w:rsid w:val="00433B5E"/>
    <w:rsid w:val="00460626"/>
    <w:rsid w:val="0046644C"/>
    <w:rsid w:val="00496D7B"/>
    <w:rsid w:val="004E082A"/>
    <w:rsid w:val="00502CD2"/>
    <w:rsid w:val="00516EDA"/>
    <w:rsid w:val="00530998"/>
    <w:rsid w:val="005C3512"/>
    <w:rsid w:val="00604A1C"/>
    <w:rsid w:val="0061452E"/>
    <w:rsid w:val="0062202F"/>
    <w:rsid w:val="0067692D"/>
    <w:rsid w:val="00677B5E"/>
    <w:rsid w:val="006F2036"/>
    <w:rsid w:val="007572FC"/>
    <w:rsid w:val="007D618F"/>
    <w:rsid w:val="0080046C"/>
    <w:rsid w:val="008738BF"/>
    <w:rsid w:val="008B7933"/>
    <w:rsid w:val="008D1724"/>
    <w:rsid w:val="009727E0"/>
    <w:rsid w:val="009C1919"/>
    <w:rsid w:val="00A035EA"/>
    <w:rsid w:val="00A40798"/>
    <w:rsid w:val="00B12AC5"/>
    <w:rsid w:val="00B22348"/>
    <w:rsid w:val="00B267BB"/>
    <w:rsid w:val="00B71CA8"/>
    <w:rsid w:val="00C06DA7"/>
    <w:rsid w:val="00C13F2A"/>
    <w:rsid w:val="00C41F52"/>
    <w:rsid w:val="00C54659"/>
    <w:rsid w:val="00CB10CD"/>
    <w:rsid w:val="00D03394"/>
    <w:rsid w:val="00D1503F"/>
    <w:rsid w:val="00D451DC"/>
    <w:rsid w:val="00D706B4"/>
    <w:rsid w:val="00D937F2"/>
    <w:rsid w:val="00DF1D74"/>
    <w:rsid w:val="00E00A76"/>
    <w:rsid w:val="00E930F3"/>
    <w:rsid w:val="00EB3FB6"/>
    <w:rsid w:val="00ED04FC"/>
    <w:rsid w:val="00EE251A"/>
    <w:rsid w:val="00EE5DDA"/>
    <w:rsid w:val="00F24715"/>
    <w:rsid w:val="00FA1E83"/>
    <w:rsid w:val="00FE4318"/>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905A1A9-DE2F-482A-811A-C34821F85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qFormat="1"/>
    <w:lsdException w:name="heading 8" w:semiHidden="1" w:uiPriority="0" w:unhideWhenUsed="1"/>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qFormat/>
    <w:rsid w:val="001169CA"/>
    <w:pPr>
      <w:ind w:left="0" w:firstLine="0"/>
    </w:pPr>
  </w:style>
  <w:style w:type="paragraph" w:customStyle="1" w:styleId="COLNumbered">
    <w:name w:val="COL Numbered"/>
    <w:basedOn w:val="FOFNumbered"/>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8D1724"/>
    <w:pPr>
      <w:ind w:firstLine="720"/>
    </w:pPr>
    <w:rPr>
      <w:sz w:val="20"/>
      <w:szCs w:val="20"/>
    </w:rPr>
  </w:style>
  <w:style w:type="character" w:customStyle="1" w:styleId="FootnoteTextChar">
    <w:name w:val="Footnote Text Char"/>
    <w:basedOn w:val="DefaultParagraphFont"/>
    <w:link w:val="FootnoteText"/>
    <w:uiPriority w:val="99"/>
    <w:rsid w:val="008D1724"/>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styleId="Subtitle">
    <w:name w:val="Subtitle"/>
    <w:basedOn w:val="Normal"/>
    <w:link w:val="SubtitleChar"/>
    <w:qFormat/>
    <w:rsid w:val="006F2036"/>
    <w:pPr>
      <w:spacing w:line="360" w:lineRule="auto"/>
      <w:jc w:val="center"/>
    </w:pPr>
    <w:rPr>
      <w:rFonts w:eastAsia="Times New Roman"/>
      <w:b/>
      <w:szCs w:val="20"/>
    </w:rPr>
  </w:style>
  <w:style w:type="character" w:customStyle="1" w:styleId="SubtitleChar">
    <w:name w:val="Subtitle Char"/>
    <w:basedOn w:val="DefaultParagraphFont"/>
    <w:link w:val="Subtitle"/>
    <w:rsid w:val="006F2036"/>
    <w:rPr>
      <w:rFonts w:eastAsia="Times New Roman"/>
      <w:b/>
      <w:szCs w:val="20"/>
    </w:rPr>
  </w:style>
  <w:style w:type="paragraph" w:customStyle="1" w:styleId="ThresholdIssue">
    <w:name w:val="Threshold Issue"/>
    <w:basedOn w:val="Heading3"/>
    <w:next w:val="BodyText"/>
    <w:qFormat/>
    <w:rsid w:val="006F2036"/>
    <w:pPr>
      <w:keepLines w:val="0"/>
      <w:numPr>
        <w:ilvl w:val="0"/>
        <w:numId w:val="9"/>
      </w:numPr>
      <w:spacing w:before="0" w:after="120"/>
    </w:pPr>
    <w:rPr>
      <w:rFonts w:eastAsia="Times New Roman" w:cs="Times New Roman"/>
      <w:snapToGrid w:val="0"/>
    </w:rPr>
  </w:style>
  <w:style w:type="paragraph" w:customStyle="1" w:styleId="IssueList">
    <w:name w:val="Issue List"/>
    <w:basedOn w:val="FOFNumbered"/>
    <w:qFormat/>
    <w:rsid w:val="006F2036"/>
    <w:pPr>
      <w:numPr>
        <w:numId w:val="3"/>
      </w:numPr>
    </w:pPr>
  </w:style>
  <w:style w:type="paragraph" w:customStyle="1" w:styleId="IssueNotList">
    <w:name w:val="Issue Not List"/>
    <w:basedOn w:val="COLNumbered"/>
    <w:next w:val="BodyText"/>
    <w:qFormat/>
    <w:rsid w:val="006F2036"/>
    <w:pPr>
      <w:tabs>
        <w:tab w:val="num" w:pos="720"/>
      </w:tabs>
    </w:pPr>
    <w:rPr>
      <w:b/>
      <w:i/>
    </w:rPr>
  </w:style>
  <w:style w:type="paragraph" w:customStyle="1" w:styleId="Issuesublist">
    <w:name w:val="Issue sub list"/>
    <w:basedOn w:val="Normal"/>
    <w:qFormat/>
    <w:rsid w:val="00460626"/>
    <w:pPr>
      <w:numPr>
        <w:ilvl w:val="1"/>
        <w:numId w:val="3"/>
      </w:numPr>
      <w:spacing w:after="120" w:line="360" w:lineRule="auto"/>
      <w:jc w:val="both"/>
    </w:pPr>
    <w:rPr>
      <w:rFonts w:eastAsia="Times New Roman"/>
      <w:szCs w:val="20"/>
    </w:rPr>
  </w:style>
  <w:style w:type="paragraph" w:customStyle="1" w:styleId="Issuesub2list">
    <w:name w:val="Issue sub2 list"/>
    <w:basedOn w:val="Normal"/>
    <w:qFormat/>
    <w:rsid w:val="00460626"/>
    <w:pPr>
      <w:numPr>
        <w:ilvl w:val="2"/>
        <w:numId w:val="3"/>
      </w:numPr>
      <w:spacing w:after="120" w:line="360" w:lineRule="auto"/>
      <w:jc w:val="both"/>
    </w:pPr>
    <w:rPr>
      <w:rFonts w:eastAsia="Times New Roman"/>
      <w:szCs w:val="20"/>
    </w:rPr>
  </w:style>
  <w:style w:type="paragraph" w:customStyle="1" w:styleId="Version">
    <w:name w:val="Version"/>
    <w:basedOn w:val="Normal"/>
    <w:link w:val="VersionChar"/>
    <w:qFormat/>
    <w:rsid w:val="00460626"/>
    <w:pPr>
      <w:spacing w:before="120" w:after="120"/>
    </w:pPr>
    <w:rPr>
      <w:b/>
    </w:rPr>
  </w:style>
  <w:style w:type="character" w:customStyle="1" w:styleId="VersionChar">
    <w:name w:val="Version Char"/>
    <w:basedOn w:val="DefaultParagraphFont"/>
    <w:link w:val="Version"/>
    <w:rsid w:val="00460626"/>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prelimorder201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87F6B6-2AAC-4D30-A574-4C7A7923B5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prelimorder2013</Template>
  <TotalTime>1240</TotalTime>
  <Pages>7</Pages>
  <Words>1903</Words>
  <Characters>10849</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12727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Carter, Lisa</dc:creator>
  <cp:keywords/>
  <dc:description/>
  <cp:lastModifiedBy>Carter, Lisa</cp:lastModifiedBy>
  <cp:revision>9</cp:revision>
  <cp:lastPrinted>2017-10-04T18:03:00Z</cp:lastPrinted>
  <dcterms:created xsi:type="dcterms:W3CDTF">2017-10-03T21:00:00Z</dcterms:created>
  <dcterms:modified xsi:type="dcterms:W3CDTF">2017-10-04T18:53:00Z</dcterms:modified>
</cp:coreProperties>
</file>